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260" w:rsidRPr="00991BAD" w:rsidRDefault="0092475E" w:rsidP="00A25D7C">
      <w:pPr>
        <w:pStyle w:val="20"/>
        <w:widowControl/>
        <w:shd w:val="clear" w:color="auto" w:fill="auto"/>
        <w:spacing w:line="240" w:lineRule="auto"/>
        <w:ind w:firstLine="0"/>
        <w:rPr>
          <w:lang w:val="en-US"/>
        </w:rPr>
      </w:pPr>
      <w:r>
        <w:rPr>
          <w:lang w:val="en-US"/>
        </w:rPr>
        <w:t>Annex</w:t>
      </w:r>
      <w:r>
        <w:rPr>
          <w:lang w:val="en-US"/>
        </w:rPr>
        <w:br/>
        <w:t xml:space="preserve">to the minutes of the Executive Committee of PJSC ALROSA </w:t>
      </w:r>
      <w:r>
        <w:rPr>
          <w:lang w:val="en-US"/>
        </w:rPr>
        <w:br/>
        <w:t>No. 01/385-PR-P dated 30.01.2023</w:t>
      </w:r>
    </w:p>
    <w:p w:rsidR="00A25D7C" w:rsidRPr="00991BAD" w:rsidRDefault="00A25D7C" w:rsidP="00A25D7C">
      <w:pPr>
        <w:pStyle w:val="20"/>
        <w:widowControl/>
        <w:shd w:val="clear" w:color="auto" w:fill="auto"/>
        <w:spacing w:line="240" w:lineRule="auto"/>
        <w:ind w:firstLine="0"/>
        <w:rPr>
          <w:lang w:val="en-US"/>
        </w:rPr>
      </w:pPr>
    </w:p>
    <w:p w:rsidR="00197260" w:rsidRPr="00991BAD" w:rsidRDefault="0092475E" w:rsidP="00A25D7C">
      <w:pPr>
        <w:pStyle w:val="20"/>
        <w:widowControl/>
        <w:shd w:val="clear" w:color="auto" w:fill="auto"/>
        <w:spacing w:line="240" w:lineRule="auto"/>
        <w:ind w:firstLine="0"/>
        <w:rPr>
          <w:lang w:val="en-US"/>
        </w:rPr>
      </w:pPr>
      <w:r>
        <w:rPr>
          <w:lang w:val="en-US"/>
        </w:rPr>
        <w:t xml:space="preserve">APPROVED BY: </w:t>
      </w:r>
      <w:r>
        <w:rPr>
          <w:lang w:val="en-US"/>
        </w:rPr>
        <w:br/>
        <w:t xml:space="preserve">the resolution of the Executive Committee of PJSC ALROSA </w:t>
      </w:r>
      <w:r>
        <w:rPr>
          <w:lang w:val="en-US"/>
        </w:rPr>
        <w:br/>
        <w:t>No. 01/385-PR-P dated 30.01.2023</w:t>
      </w:r>
    </w:p>
    <w:p w:rsidR="002D5504" w:rsidRPr="00991BAD" w:rsidRDefault="002D5504" w:rsidP="00A25D7C">
      <w:pPr>
        <w:pStyle w:val="20"/>
        <w:widowControl/>
        <w:shd w:val="clear" w:color="auto" w:fill="auto"/>
        <w:spacing w:line="360" w:lineRule="auto"/>
        <w:ind w:firstLine="0"/>
        <w:jc w:val="both"/>
        <w:rPr>
          <w:lang w:val="en-US"/>
        </w:rPr>
      </w:pPr>
    </w:p>
    <w:p w:rsidR="00197260" w:rsidRPr="00991BAD" w:rsidRDefault="0092475E" w:rsidP="00A25D7C">
      <w:pPr>
        <w:pStyle w:val="10"/>
        <w:keepNext/>
        <w:keepLines/>
        <w:widowControl/>
        <w:shd w:val="clear" w:color="auto" w:fill="auto"/>
        <w:spacing w:line="360" w:lineRule="auto"/>
        <w:rPr>
          <w:lang w:val="en-US"/>
        </w:rPr>
      </w:pPr>
      <w:bookmarkStart w:id="0" w:name="bookmark0"/>
      <w:r>
        <w:rPr>
          <w:lang w:val="en-US"/>
        </w:rPr>
        <w:t>Energy Efficiency and Energy Conservation</w:t>
      </w:r>
      <w:bookmarkEnd w:id="0"/>
      <w:r>
        <w:rPr>
          <w:lang w:val="en-US"/>
        </w:rPr>
        <w:t xml:space="preserve"> </w:t>
      </w:r>
      <w:bookmarkStart w:id="1" w:name="bookmark1"/>
      <w:r w:rsidR="00665502">
        <w:rPr>
          <w:lang w:val="en-US"/>
        </w:rPr>
        <w:t>Policy</w:t>
      </w:r>
      <w:r>
        <w:rPr>
          <w:b w:val="0"/>
          <w:bCs w:val="0"/>
          <w:lang w:val="en-US"/>
        </w:rPr>
        <w:br/>
      </w:r>
      <w:r>
        <w:rPr>
          <w:lang w:val="en-US"/>
        </w:rPr>
        <w:t>Of PJSC ALROSA</w:t>
      </w:r>
      <w:bookmarkEnd w:id="1"/>
    </w:p>
    <w:p w:rsidR="00197260" w:rsidRPr="00991BAD" w:rsidRDefault="0092475E" w:rsidP="00A25D7C">
      <w:pPr>
        <w:pStyle w:val="20"/>
        <w:widowControl/>
        <w:shd w:val="clear" w:color="auto" w:fill="auto"/>
        <w:spacing w:line="360" w:lineRule="auto"/>
        <w:ind w:firstLine="360"/>
        <w:jc w:val="both"/>
        <w:rPr>
          <w:lang w:val="en-US"/>
        </w:rPr>
      </w:pPr>
      <w:r>
        <w:rPr>
          <w:lang w:val="en-US"/>
        </w:rPr>
        <w:t>PJSC ALROSA is a world leading diamond producing company with a full production cycle. A group of the PJSC ALROSA affiliated companies (hereinafter collectively referred to as the “ALROSA Group”) all have a diversified portfolio of assets and activities, including extraction and production of diamonds, transportation services, generation and transfer of heat and electrical energy, extraction of natural gas as well as R&amp;D and social organizations.</w:t>
      </w:r>
    </w:p>
    <w:p w:rsidR="00197260" w:rsidRPr="00991BAD" w:rsidRDefault="0092475E" w:rsidP="00A25D7C">
      <w:pPr>
        <w:pStyle w:val="20"/>
        <w:widowControl/>
        <w:shd w:val="clear" w:color="auto" w:fill="auto"/>
        <w:spacing w:line="360" w:lineRule="auto"/>
        <w:ind w:firstLine="360"/>
        <w:jc w:val="both"/>
        <w:rPr>
          <w:lang w:val="en-US"/>
        </w:rPr>
      </w:pPr>
      <w:r>
        <w:rPr>
          <w:lang w:val="en-US"/>
        </w:rPr>
        <w:t>With the mitigation of the climate change impact and sustainable use of natural resources</w:t>
      </w:r>
      <w:r w:rsidR="00BA7EE4" w:rsidRPr="00BA7EE4">
        <w:rPr>
          <w:lang w:val="en-US"/>
        </w:rPr>
        <w:t xml:space="preserve"> </w:t>
      </w:r>
      <w:r>
        <w:rPr>
          <w:lang w:val="en-US"/>
        </w:rPr>
        <w:t>being strategic priorities</w:t>
      </w:r>
      <w:r w:rsidR="00BA7EE4">
        <w:rPr>
          <w:vertAlign w:val="superscript"/>
          <w:lang w:val="en-US"/>
        </w:rPr>
        <w:footnoteReference w:id="1"/>
      </w:r>
      <w:r w:rsidR="00BA7EE4">
        <w:rPr>
          <w:lang w:val="en-US"/>
        </w:rPr>
        <w:t xml:space="preserve"> </w:t>
      </w:r>
      <w:r>
        <w:rPr>
          <w:lang w:val="en-US"/>
        </w:rPr>
        <w:t xml:space="preserve"> of PJSC ALROSA, the Company </w:t>
      </w:r>
      <w:r w:rsidR="00BA7EE4">
        <w:rPr>
          <w:lang w:val="en-US"/>
        </w:rPr>
        <w:t>commits</w:t>
      </w:r>
      <w:r>
        <w:rPr>
          <w:lang w:val="en-US"/>
        </w:rPr>
        <w:t xml:space="preserve"> to continuously </w:t>
      </w:r>
      <w:r w:rsidR="00BA7EE4">
        <w:rPr>
          <w:lang w:val="en-US"/>
        </w:rPr>
        <w:t>improve</w:t>
      </w:r>
      <w:r>
        <w:rPr>
          <w:lang w:val="en-US"/>
        </w:rPr>
        <w:t xml:space="preserve"> the energy efficiency of its production, </w:t>
      </w:r>
      <w:r w:rsidR="00BA7EE4">
        <w:rPr>
          <w:lang w:val="en-US"/>
        </w:rPr>
        <w:t>diminish</w:t>
      </w:r>
      <w:r>
        <w:rPr>
          <w:lang w:val="en-US"/>
        </w:rPr>
        <w:t xml:space="preserve"> energy consumption from </w:t>
      </w:r>
      <w:r w:rsidR="00991BAD">
        <w:rPr>
          <w:lang w:val="en-US"/>
        </w:rPr>
        <w:t>non</w:t>
      </w:r>
      <w:r w:rsidR="00BA7EE4">
        <w:rPr>
          <w:lang w:val="en-US"/>
        </w:rPr>
        <w:t>-</w:t>
      </w:r>
      <w:r w:rsidR="00991BAD">
        <w:rPr>
          <w:lang w:val="en-US"/>
        </w:rPr>
        <w:t>renewable</w:t>
      </w:r>
      <w:r>
        <w:rPr>
          <w:lang w:val="en-US"/>
        </w:rPr>
        <w:t xml:space="preserve"> sources and gradually </w:t>
      </w:r>
      <w:r w:rsidR="00BA7EE4">
        <w:rPr>
          <w:lang w:val="en-US"/>
        </w:rPr>
        <w:t>increase</w:t>
      </w:r>
      <w:r>
        <w:rPr>
          <w:lang w:val="en-US"/>
        </w:rPr>
        <w:t xml:space="preserve"> the share of low-carbon sources of energy in the long run.</w:t>
      </w:r>
    </w:p>
    <w:p w:rsidR="00197260" w:rsidRPr="00991BAD" w:rsidRDefault="0092475E" w:rsidP="00A25D7C">
      <w:pPr>
        <w:pStyle w:val="20"/>
        <w:widowControl/>
        <w:shd w:val="clear" w:color="auto" w:fill="auto"/>
        <w:spacing w:line="360" w:lineRule="auto"/>
        <w:ind w:firstLine="360"/>
        <w:jc w:val="both"/>
        <w:rPr>
          <w:lang w:val="en-US"/>
        </w:rPr>
      </w:pPr>
      <w:r>
        <w:rPr>
          <w:lang w:val="en-US"/>
        </w:rPr>
        <w:t xml:space="preserve">The policy for energy efficiency and energy conservation of PJSC ALROSA aims to create and develop a corporate energy management system as well as measures for energy conservation and increasing energy efficiency based on the sustainable development </w:t>
      </w:r>
      <w:r w:rsidR="00665502">
        <w:rPr>
          <w:lang w:val="en-US"/>
        </w:rPr>
        <w:t>principles</w:t>
      </w:r>
      <w:r>
        <w:rPr>
          <w:lang w:val="en-US"/>
        </w:rPr>
        <w:t>.</w:t>
      </w:r>
    </w:p>
    <w:p w:rsidR="00197260" w:rsidRPr="00991BAD" w:rsidRDefault="0092475E" w:rsidP="00A25D7C">
      <w:pPr>
        <w:pStyle w:val="20"/>
        <w:widowControl/>
        <w:shd w:val="clear" w:color="auto" w:fill="auto"/>
        <w:spacing w:line="360" w:lineRule="auto"/>
        <w:ind w:firstLine="360"/>
        <w:jc w:val="both"/>
        <w:rPr>
          <w:lang w:val="en-US"/>
        </w:rPr>
      </w:pPr>
      <w:r>
        <w:rPr>
          <w:lang w:val="en-US"/>
        </w:rPr>
        <w:t xml:space="preserve">The management of PJSC ALROSA and heads of its functional units and separate divisions </w:t>
      </w:r>
      <w:r w:rsidR="00665502">
        <w:rPr>
          <w:lang w:val="en-US"/>
        </w:rPr>
        <w:t>ensure</w:t>
      </w:r>
      <w:r>
        <w:rPr>
          <w:lang w:val="en-US"/>
        </w:rPr>
        <w:t xml:space="preserve"> the Energy Efficiency and Energy Conservation </w:t>
      </w:r>
      <w:r w:rsidR="00665502">
        <w:rPr>
          <w:lang w:val="en-US"/>
        </w:rPr>
        <w:t xml:space="preserve">Policy </w:t>
      </w:r>
      <w:r>
        <w:rPr>
          <w:lang w:val="en-US"/>
        </w:rPr>
        <w:t xml:space="preserve">is implemented. To harmonize the approach </w:t>
      </w:r>
      <w:r w:rsidR="00665502">
        <w:rPr>
          <w:lang w:val="en-US"/>
        </w:rPr>
        <w:t xml:space="preserve">on </w:t>
      </w:r>
      <w:r>
        <w:rPr>
          <w:lang w:val="en-US"/>
        </w:rPr>
        <w:t>energy efficiency</w:t>
      </w:r>
      <w:r w:rsidR="00665502">
        <w:rPr>
          <w:lang w:val="en-US"/>
        </w:rPr>
        <w:t xml:space="preserve"> improvement</w:t>
      </w:r>
      <w:r>
        <w:rPr>
          <w:lang w:val="en-US"/>
        </w:rPr>
        <w:t xml:space="preserve"> within the ALROSA Group, the Policy is recommended for implementation and compliance in subsidiary and controlled entities of PJSC ALROSA.</w:t>
      </w:r>
    </w:p>
    <w:p w:rsidR="00197260" w:rsidRPr="00991BAD" w:rsidRDefault="0092475E" w:rsidP="00910E78">
      <w:pPr>
        <w:pStyle w:val="20"/>
        <w:widowControl/>
        <w:shd w:val="clear" w:color="auto" w:fill="auto"/>
        <w:spacing w:line="360" w:lineRule="auto"/>
        <w:ind w:firstLine="360"/>
        <w:jc w:val="both"/>
        <w:rPr>
          <w:lang w:val="en-US"/>
        </w:rPr>
      </w:pPr>
      <w:r>
        <w:rPr>
          <w:lang w:val="en-US"/>
        </w:rPr>
        <w:t xml:space="preserve">PJSC ALROSA also expects that its suppliers, contractors, customers and </w:t>
      </w:r>
      <w:r w:rsidR="00F452F0">
        <w:rPr>
          <w:lang w:val="en-US"/>
        </w:rPr>
        <w:t xml:space="preserve">other </w:t>
      </w:r>
      <w:r>
        <w:rPr>
          <w:lang w:val="en-US"/>
        </w:rPr>
        <w:t xml:space="preserve">business partners, with which the ALROSA departments and affiliated companies are working, will maintain high standards of responsible business conduct and implement appropriate practices of sustainable </w:t>
      </w:r>
      <w:r w:rsidR="00F452F0">
        <w:rPr>
          <w:lang w:val="en-US"/>
        </w:rPr>
        <w:t xml:space="preserve">natural resources </w:t>
      </w:r>
      <w:r>
        <w:rPr>
          <w:lang w:val="en-US"/>
        </w:rPr>
        <w:t>and energy</w:t>
      </w:r>
      <w:r w:rsidR="00F452F0">
        <w:rPr>
          <w:lang w:val="en-US"/>
        </w:rPr>
        <w:t xml:space="preserve"> consumption</w:t>
      </w:r>
      <w:r>
        <w:rPr>
          <w:lang w:val="en-US"/>
        </w:rPr>
        <w:t>.</w:t>
      </w:r>
    </w:p>
    <w:p w:rsidR="00197260" w:rsidRPr="002D5504" w:rsidRDefault="0092475E" w:rsidP="00A25D7C">
      <w:pPr>
        <w:pStyle w:val="30"/>
        <w:widowControl/>
        <w:shd w:val="clear" w:color="auto" w:fill="auto"/>
        <w:spacing w:line="360" w:lineRule="auto"/>
        <w:ind w:left="426"/>
        <w:jc w:val="both"/>
      </w:pPr>
      <w:r>
        <w:rPr>
          <w:lang w:val="en-US"/>
        </w:rPr>
        <w:t>Principles of Energy Management:</w:t>
      </w:r>
    </w:p>
    <w:p w:rsidR="00197260" w:rsidRPr="00991BAD" w:rsidRDefault="0092475E" w:rsidP="00A25D7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710"/>
        </w:tabs>
        <w:spacing w:line="360" w:lineRule="auto"/>
        <w:ind w:left="426" w:hanging="426"/>
        <w:jc w:val="both"/>
        <w:rPr>
          <w:lang w:val="en-US"/>
        </w:rPr>
      </w:pPr>
      <w:r>
        <w:rPr>
          <w:lang w:val="en-US"/>
        </w:rPr>
        <w:t xml:space="preserve">ensuring </w:t>
      </w:r>
      <w:r w:rsidR="005024A8">
        <w:rPr>
          <w:lang w:val="en-US"/>
        </w:rPr>
        <w:t>implement</w:t>
      </w:r>
      <w:r w:rsidR="005024A8">
        <w:rPr>
          <w:lang w:val="en-US"/>
        </w:rPr>
        <w:t xml:space="preserve">ation of </w:t>
      </w:r>
      <w:r>
        <w:rPr>
          <w:lang w:val="en-US"/>
        </w:rPr>
        <w:t xml:space="preserve">the best available technologies </w:t>
      </w:r>
      <w:r w:rsidR="00A55C04">
        <w:rPr>
          <w:lang w:val="en-US"/>
        </w:rPr>
        <w:t>providing for</w:t>
      </w:r>
      <w:r>
        <w:rPr>
          <w:lang w:val="en-US"/>
        </w:rPr>
        <w:t xml:space="preserve"> energy </w:t>
      </w:r>
      <w:r w:rsidR="005024A8">
        <w:rPr>
          <w:lang w:val="en-US"/>
        </w:rPr>
        <w:t>efficient</w:t>
      </w:r>
      <w:r>
        <w:rPr>
          <w:lang w:val="en-US"/>
        </w:rPr>
        <w:t xml:space="preserve"> </w:t>
      </w:r>
      <w:r w:rsidR="005024A8">
        <w:rPr>
          <w:lang w:val="en-US"/>
        </w:rPr>
        <w:t>production</w:t>
      </w:r>
      <w:r>
        <w:rPr>
          <w:lang w:val="en-US"/>
        </w:rPr>
        <w:t>;</w:t>
      </w:r>
    </w:p>
    <w:p w:rsidR="00197260" w:rsidRPr="00991BAD" w:rsidRDefault="0092475E" w:rsidP="00A25D7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710"/>
        </w:tabs>
        <w:spacing w:line="360" w:lineRule="auto"/>
        <w:ind w:left="426" w:hanging="426"/>
        <w:jc w:val="both"/>
        <w:rPr>
          <w:lang w:val="en-US"/>
        </w:rPr>
      </w:pPr>
      <w:r>
        <w:rPr>
          <w:lang w:val="en-US"/>
        </w:rPr>
        <w:t>using fuel and energy resources sustainably;</w:t>
      </w:r>
    </w:p>
    <w:p w:rsidR="00197260" w:rsidRPr="00991BAD" w:rsidRDefault="0092475E" w:rsidP="00A25D7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710"/>
        </w:tabs>
        <w:spacing w:line="360" w:lineRule="auto"/>
        <w:ind w:left="426" w:hanging="426"/>
        <w:jc w:val="both"/>
        <w:rPr>
          <w:lang w:val="en-US"/>
        </w:rPr>
      </w:pPr>
      <w:r>
        <w:rPr>
          <w:lang w:val="en-US"/>
        </w:rPr>
        <w:lastRenderedPageBreak/>
        <w:t>making managerial and investment decisions in consideration of strategic objectives, risks and opportunities relat</w:t>
      </w:r>
      <w:r w:rsidR="00A55C04">
        <w:rPr>
          <w:lang w:val="en-US"/>
        </w:rPr>
        <w:t>ed</w:t>
      </w:r>
      <w:r>
        <w:rPr>
          <w:lang w:val="en-US"/>
        </w:rPr>
        <w:t xml:space="preserve"> to energy conservation and increase of energy efficiency;</w:t>
      </w:r>
    </w:p>
    <w:p w:rsidR="00197260" w:rsidRPr="00991BAD" w:rsidRDefault="0092475E" w:rsidP="00A25D7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710"/>
        </w:tabs>
        <w:spacing w:line="360" w:lineRule="auto"/>
        <w:ind w:left="426" w:hanging="426"/>
        <w:jc w:val="both"/>
        <w:rPr>
          <w:lang w:val="en-US"/>
        </w:rPr>
      </w:pPr>
      <w:r>
        <w:rPr>
          <w:lang w:val="en-US"/>
        </w:rPr>
        <w:t>openness and accessibility of information on PJSC ALROSA activities relating to energy conservation and increase of energy efficiency, developing partnerships and cooperation to use energy efficient technologies;</w:t>
      </w:r>
    </w:p>
    <w:p w:rsidR="00197260" w:rsidRPr="00991BAD" w:rsidRDefault="0092475E" w:rsidP="00A25D7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710"/>
        </w:tabs>
        <w:spacing w:line="360" w:lineRule="auto"/>
        <w:ind w:left="426" w:hanging="426"/>
        <w:jc w:val="both"/>
        <w:rPr>
          <w:lang w:val="en-US"/>
        </w:rPr>
      </w:pPr>
      <w:r>
        <w:rPr>
          <w:lang w:val="en-US"/>
        </w:rPr>
        <w:t>compliance with requirements of the applicable national and international laws, the Russian and international standards relat</w:t>
      </w:r>
      <w:r w:rsidR="00A55C04">
        <w:rPr>
          <w:lang w:val="en-US"/>
        </w:rPr>
        <w:t>ed</w:t>
      </w:r>
      <w:r>
        <w:rPr>
          <w:lang w:val="en-US"/>
        </w:rPr>
        <w:t xml:space="preserve"> to energy conservation and increase of energy efficiency.</w:t>
      </w:r>
    </w:p>
    <w:p w:rsidR="00197260" w:rsidRPr="002D5504" w:rsidRDefault="0092475E" w:rsidP="00A25D7C">
      <w:pPr>
        <w:pStyle w:val="30"/>
        <w:widowControl/>
        <w:shd w:val="clear" w:color="auto" w:fill="auto"/>
        <w:spacing w:line="360" w:lineRule="auto"/>
        <w:ind w:left="426"/>
        <w:jc w:val="both"/>
      </w:pPr>
      <w:r>
        <w:rPr>
          <w:lang w:val="en-US"/>
        </w:rPr>
        <w:t>Energy-Related Strategic Goals:</w:t>
      </w:r>
    </w:p>
    <w:p w:rsidR="00197260" w:rsidRPr="00991BAD" w:rsidRDefault="0092475E" w:rsidP="00A25D7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710"/>
        </w:tabs>
        <w:spacing w:line="360" w:lineRule="auto"/>
        <w:ind w:left="426" w:hanging="426"/>
        <w:jc w:val="both"/>
        <w:rPr>
          <w:lang w:val="en-US"/>
        </w:rPr>
      </w:pPr>
      <w:r>
        <w:rPr>
          <w:lang w:val="en-US"/>
        </w:rPr>
        <w:t>achieving technically and economically feasible minimum level of energy intensity of the Company’s products.</w:t>
      </w:r>
    </w:p>
    <w:p w:rsidR="00197260" w:rsidRPr="00991BAD" w:rsidRDefault="0092475E" w:rsidP="00A25D7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710"/>
        </w:tabs>
        <w:spacing w:line="360" w:lineRule="auto"/>
        <w:ind w:left="426" w:hanging="426"/>
        <w:jc w:val="both"/>
        <w:rPr>
          <w:lang w:val="en-US"/>
        </w:rPr>
      </w:pPr>
      <w:r>
        <w:rPr>
          <w:lang w:val="en-US"/>
        </w:rPr>
        <w:t>gaining leading positions in terms of the production processes</w:t>
      </w:r>
      <w:r w:rsidR="00821F12">
        <w:rPr>
          <w:lang w:val="en-US"/>
        </w:rPr>
        <w:t>’</w:t>
      </w:r>
      <w:r>
        <w:rPr>
          <w:lang w:val="en-US"/>
        </w:rPr>
        <w:t xml:space="preserve"> </w:t>
      </w:r>
      <w:r w:rsidR="00821F12">
        <w:rPr>
          <w:lang w:val="en-US"/>
        </w:rPr>
        <w:t xml:space="preserve">energy efficiency </w:t>
      </w:r>
      <w:r>
        <w:rPr>
          <w:lang w:val="en-US"/>
        </w:rPr>
        <w:t>among the Russian mining and metal companies.</w:t>
      </w:r>
    </w:p>
    <w:p w:rsidR="00197260" w:rsidRPr="002D5504" w:rsidRDefault="0092475E" w:rsidP="00A25D7C">
      <w:pPr>
        <w:pStyle w:val="30"/>
        <w:widowControl/>
        <w:shd w:val="clear" w:color="auto" w:fill="auto"/>
        <w:spacing w:line="360" w:lineRule="auto"/>
        <w:ind w:left="426"/>
        <w:jc w:val="both"/>
      </w:pPr>
      <w:r>
        <w:rPr>
          <w:lang w:val="en-US"/>
        </w:rPr>
        <w:t>Priority Areas of Activity:</w:t>
      </w:r>
    </w:p>
    <w:p w:rsidR="00197260" w:rsidRPr="00991BAD" w:rsidRDefault="0092475E" w:rsidP="00A25D7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710"/>
        </w:tabs>
        <w:spacing w:line="360" w:lineRule="auto"/>
        <w:ind w:left="426" w:hanging="426"/>
        <w:jc w:val="both"/>
        <w:rPr>
          <w:lang w:val="en-US"/>
        </w:rPr>
      </w:pPr>
      <w:r>
        <w:rPr>
          <w:lang w:val="en-US"/>
        </w:rPr>
        <w:t xml:space="preserve">ensuring reliable, safe and efficient energy </w:t>
      </w:r>
      <w:r w:rsidR="00821F12">
        <w:rPr>
          <w:lang w:val="en-US"/>
        </w:rPr>
        <w:t>supply</w:t>
      </w:r>
      <w:r>
        <w:rPr>
          <w:lang w:val="en-US"/>
        </w:rPr>
        <w:t xml:space="preserve"> </w:t>
      </w:r>
      <w:r w:rsidR="00E2137F">
        <w:rPr>
          <w:lang w:val="en-US"/>
        </w:rPr>
        <w:t>of</w:t>
      </w:r>
      <w:r>
        <w:rPr>
          <w:lang w:val="en-US"/>
        </w:rPr>
        <w:t xml:space="preserve"> the production.</w:t>
      </w:r>
    </w:p>
    <w:p w:rsidR="00197260" w:rsidRPr="00991BAD" w:rsidRDefault="0092475E" w:rsidP="00A25D7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710"/>
        </w:tabs>
        <w:spacing w:line="360" w:lineRule="auto"/>
        <w:ind w:left="426" w:hanging="426"/>
        <w:jc w:val="both"/>
        <w:rPr>
          <w:lang w:val="en-US"/>
        </w:rPr>
      </w:pPr>
      <w:r>
        <w:rPr>
          <w:lang w:val="en-US"/>
        </w:rPr>
        <w:t>implementing energy efficient technologies, equipment, materials and engineering when modernizing the production facilities.</w:t>
      </w:r>
    </w:p>
    <w:p w:rsidR="00197260" w:rsidRPr="00991BAD" w:rsidRDefault="0092475E" w:rsidP="00A25D7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710"/>
        </w:tabs>
        <w:spacing w:line="360" w:lineRule="auto"/>
        <w:ind w:left="426" w:hanging="426"/>
        <w:jc w:val="both"/>
        <w:rPr>
          <w:lang w:val="en-US"/>
        </w:rPr>
      </w:pPr>
      <w:r>
        <w:rPr>
          <w:lang w:val="en-US"/>
        </w:rPr>
        <w:t>gradually reducing the energy intensity of the products and the consumption of fuel and energy resources without sacrificing the effectiveness of the production processes.</w:t>
      </w:r>
    </w:p>
    <w:p w:rsidR="00197260" w:rsidRPr="00991BAD" w:rsidRDefault="0092475E" w:rsidP="00A25D7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710"/>
        </w:tabs>
        <w:spacing w:line="360" w:lineRule="auto"/>
        <w:ind w:left="426" w:hanging="426"/>
        <w:jc w:val="both"/>
        <w:rPr>
          <w:lang w:val="en-US"/>
        </w:rPr>
      </w:pPr>
      <w:r>
        <w:rPr>
          <w:lang w:val="en-US"/>
        </w:rPr>
        <w:t>increasing the use of energy from the Company’s own generating facilities, including subsidiary companies, to minimize energy resources bought from external suppliers.</w:t>
      </w:r>
    </w:p>
    <w:p w:rsidR="00197260" w:rsidRPr="00991BAD" w:rsidRDefault="0092475E" w:rsidP="00A25D7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710"/>
        </w:tabs>
        <w:spacing w:line="360" w:lineRule="auto"/>
        <w:ind w:left="426" w:hanging="426"/>
        <w:jc w:val="both"/>
        <w:rPr>
          <w:lang w:val="en-US"/>
        </w:rPr>
      </w:pPr>
      <w:r>
        <w:rPr>
          <w:lang w:val="en-US"/>
        </w:rPr>
        <w:t xml:space="preserve">ensuring the fullest possible and the most effective use of secondary fuel and energy resources from the production processes. </w:t>
      </w:r>
    </w:p>
    <w:p w:rsidR="00197260" w:rsidRPr="00991BAD" w:rsidRDefault="0092475E" w:rsidP="00A25D7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710"/>
        </w:tabs>
        <w:spacing w:line="360" w:lineRule="auto"/>
        <w:ind w:left="426" w:hanging="426"/>
        <w:jc w:val="both"/>
        <w:rPr>
          <w:lang w:val="en-US"/>
        </w:rPr>
      </w:pPr>
      <w:r>
        <w:rPr>
          <w:lang w:val="en-US"/>
        </w:rPr>
        <w:t xml:space="preserve">ensuring appropriate monitoring </w:t>
      </w:r>
      <w:r w:rsidR="00711221">
        <w:rPr>
          <w:lang w:val="en-US"/>
        </w:rPr>
        <w:t xml:space="preserve">of </w:t>
      </w:r>
      <w:r>
        <w:rPr>
          <w:lang w:val="en-US"/>
        </w:rPr>
        <w:t xml:space="preserve">and communication of information </w:t>
      </w:r>
      <w:r w:rsidR="00711221">
        <w:rPr>
          <w:lang w:val="en-US"/>
        </w:rPr>
        <w:t>on</w:t>
      </w:r>
      <w:r>
        <w:rPr>
          <w:lang w:val="en-US"/>
        </w:rPr>
        <w:t xml:space="preserve"> generation and consumption of fuel and energy resources, energy indicators in the key and supporting production processes.</w:t>
      </w:r>
    </w:p>
    <w:p w:rsidR="00197260" w:rsidRPr="00991BAD" w:rsidRDefault="0092475E" w:rsidP="00A25D7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710"/>
        </w:tabs>
        <w:spacing w:line="360" w:lineRule="auto"/>
        <w:ind w:left="426" w:hanging="426"/>
        <w:jc w:val="both"/>
        <w:rPr>
          <w:lang w:val="en-US"/>
        </w:rPr>
      </w:pPr>
      <w:r>
        <w:rPr>
          <w:lang w:val="en-US"/>
        </w:rPr>
        <w:t>constantly improve the energy management system based on analysis of data and information gathered during regular energy audits.</w:t>
      </w:r>
    </w:p>
    <w:p w:rsidR="00197260" w:rsidRPr="00991BAD" w:rsidRDefault="0092475E" w:rsidP="00A25D7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710"/>
        </w:tabs>
        <w:spacing w:line="360" w:lineRule="auto"/>
        <w:ind w:left="426" w:hanging="426"/>
        <w:jc w:val="both"/>
        <w:rPr>
          <w:lang w:val="en-US"/>
        </w:rPr>
      </w:pPr>
      <w:r>
        <w:rPr>
          <w:lang w:val="en-US"/>
        </w:rPr>
        <w:t>training, constantly increasing the competency level of and inform</w:t>
      </w:r>
      <w:r w:rsidR="00711221">
        <w:rPr>
          <w:lang w:val="en-US"/>
        </w:rPr>
        <w:t>ing</w:t>
      </w:r>
      <w:r>
        <w:rPr>
          <w:lang w:val="en-US"/>
        </w:rPr>
        <w:t xml:space="preserve"> the Company’s </w:t>
      </w:r>
      <w:r w:rsidR="00711221">
        <w:rPr>
          <w:lang w:val="en-US"/>
        </w:rPr>
        <w:t>employees</w:t>
      </w:r>
      <w:r>
        <w:rPr>
          <w:lang w:val="en-US"/>
        </w:rPr>
        <w:t xml:space="preserve"> as relat</w:t>
      </w:r>
      <w:r w:rsidR="00711221">
        <w:rPr>
          <w:lang w:val="en-US"/>
        </w:rPr>
        <w:t>ive</w:t>
      </w:r>
      <w:r>
        <w:rPr>
          <w:lang w:val="en-US"/>
        </w:rPr>
        <w:t xml:space="preserve"> to the approaches to </w:t>
      </w:r>
      <w:r w:rsidR="00711221">
        <w:rPr>
          <w:lang w:val="en-US"/>
        </w:rPr>
        <w:t>energy</w:t>
      </w:r>
      <w:r w:rsidR="00711221">
        <w:rPr>
          <w:lang w:val="en-US"/>
        </w:rPr>
        <w:t xml:space="preserve"> </w:t>
      </w:r>
      <w:r>
        <w:rPr>
          <w:lang w:val="en-US"/>
        </w:rPr>
        <w:t xml:space="preserve">use and consumption, engage the </w:t>
      </w:r>
      <w:r w:rsidR="00711221">
        <w:rPr>
          <w:lang w:val="en-US"/>
        </w:rPr>
        <w:t xml:space="preserve">employees </w:t>
      </w:r>
      <w:r>
        <w:rPr>
          <w:lang w:val="en-US"/>
        </w:rPr>
        <w:t xml:space="preserve">in achieving the strategic </w:t>
      </w:r>
      <w:r w:rsidR="00711221">
        <w:rPr>
          <w:lang w:val="en-US"/>
        </w:rPr>
        <w:t>energy conservation and energy efficiency</w:t>
      </w:r>
      <w:r w:rsidR="00711221">
        <w:rPr>
          <w:lang w:val="en-US"/>
        </w:rPr>
        <w:t xml:space="preserve"> </w:t>
      </w:r>
      <w:r>
        <w:rPr>
          <w:lang w:val="en-US"/>
        </w:rPr>
        <w:t>goals and objectives.</w:t>
      </w:r>
    </w:p>
    <w:p w:rsidR="00197260" w:rsidRPr="002D5504" w:rsidRDefault="0092475E" w:rsidP="00A25D7C">
      <w:pPr>
        <w:pStyle w:val="30"/>
        <w:widowControl/>
        <w:shd w:val="clear" w:color="auto" w:fill="auto"/>
        <w:spacing w:line="360" w:lineRule="auto"/>
        <w:ind w:left="426"/>
        <w:jc w:val="both"/>
      </w:pPr>
      <w:r>
        <w:rPr>
          <w:lang w:val="en-US"/>
        </w:rPr>
        <w:t>The Management Responsibilities:</w:t>
      </w:r>
    </w:p>
    <w:p w:rsidR="00197260" w:rsidRPr="00991BAD" w:rsidRDefault="0092475E" w:rsidP="00A25D7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710"/>
        </w:tabs>
        <w:spacing w:line="360" w:lineRule="auto"/>
        <w:ind w:left="426" w:hanging="426"/>
        <w:jc w:val="both"/>
        <w:rPr>
          <w:lang w:val="en-US"/>
        </w:rPr>
      </w:pPr>
      <w:r>
        <w:rPr>
          <w:lang w:val="en-US"/>
        </w:rPr>
        <w:t xml:space="preserve">define goals and principles of the Energy Efficiency and Energy Conservation </w:t>
      </w:r>
      <w:r w:rsidR="009D5AAD">
        <w:rPr>
          <w:lang w:val="en-US"/>
        </w:rPr>
        <w:t xml:space="preserve">Policy </w:t>
      </w:r>
      <w:r>
        <w:rPr>
          <w:lang w:val="en-US"/>
        </w:rPr>
        <w:t xml:space="preserve">and </w:t>
      </w:r>
      <w:r w:rsidR="009D5AAD">
        <w:rPr>
          <w:lang w:val="en-US"/>
        </w:rPr>
        <w:t>ensure</w:t>
      </w:r>
      <w:r>
        <w:rPr>
          <w:lang w:val="en-US"/>
        </w:rPr>
        <w:t xml:space="preserve"> they are adhered to;</w:t>
      </w:r>
    </w:p>
    <w:p w:rsidR="00197260" w:rsidRPr="00991BAD" w:rsidRDefault="009D5AAD" w:rsidP="00A25D7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710"/>
        </w:tabs>
        <w:spacing w:line="360" w:lineRule="auto"/>
        <w:ind w:left="426" w:hanging="426"/>
        <w:jc w:val="both"/>
        <w:rPr>
          <w:lang w:val="en-US"/>
        </w:rPr>
      </w:pPr>
      <w:r>
        <w:rPr>
          <w:lang w:val="en-US"/>
        </w:rPr>
        <w:lastRenderedPageBreak/>
        <w:t>provide</w:t>
      </w:r>
      <w:r w:rsidR="0092475E">
        <w:rPr>
          <w:lang w:val="en-US"/>
        </w:rPr>
        <w:t xml:space="preserve"> conditions for </w:t>
      </w:r>
      <w:r>
        <w:rPr>
          <w:lang w:val="en-US"/>
        </w:rPr>
        <w:t>decreasing</w:t>
      </w:r>
      <w:r w:rsidR="0092475E">
        <w:rPr>
          <w:lang w:val="en-US"/>
        </w:rPr>
        <w:t xml:space="preserve"> the energy intensity and increasing the energy efficiency of the production processes;</w:t>
      </w:r>
    </w:p>
    <w:p w:rsidR="00197260" w:rsidRPr="00991BAD" w:rsidRDefault="0092475E" w:rsidP="00A25D7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710"/>
        </w:tabs>
        <w:spacing w:line="360" w:lineRule="auto"/>
        <w:ind w:left="426" w:hanging="426"/>
        <w:jc w:val="both"/>
        <w:rPr>
          <w:lang w:val="en-US"/>
        </w:rPr>
      </w:pPr>
      <w:r>
        <w:rPr>
          <w:lang w:val="en-US"/>
        </w:rPr>
        <w:t xml:space="preserve">provide resources necessary for achieving the goals </w:t>
      </w:r>
      <w:r w:rsidR="009D5AAD">
        <w:rPr>
          <w:lang w:val="en-US"/>
        </w:rPr>
        <w:t xml:space="preserve">set </w:t>
      </w:r>
      <w:r w:rsidR="009D5AAD">
        <w:rPr>
          <w:lang w:val="en-US"/>
        </w:rPr>
        <w:t>by</w:t>
      </w:r>
      <w:r>
        <w:rPr>
          <w:lang w:val="en-US"/>
        </w:rPr>
        <w:t xml:space="preserve"> the Policy;</w:t>
      </w:r>
    </w:p>
    <w:p w:rsidR="00197260" w:rsidRPr="00991BAD" w:rsidRDefault="0092475E" w:rsidP="00A25D7C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710"/>
        </w:tabs>
        <w:spacing w:line="360" w:lineRule="auto"/>
        <w:ind w:left="426" w:hanging="426"/>
        <w:jc w:val="both"/>
        <w:rPr>
          <w:lang w:val="en-US"/>
        </w:rPr>
      </w:pPr>
      <w:r>
        <w:rPr>
          <w:lang w:val="en-US"/>
        </w:rPr>
        <w:t>implement effective staff incentive tools relat</w:t>
      </w:r>
      <w:r w:rsidR="009D5AAD">
        <w:rPr>
          <w:lang w:val="en-US"/>
        </w:rPr>
        <w:t xml:space="preserve">ed </w:t>
      </w:r>
      <w:bookmarkStart w:id="2" w:name="_GoBack"/>
      <w:bookmarkEnd w:id="2"/>
      <w:r>
        <w:rPr>
          <w:lang w:val="en-US"/>
        </w:rPr>
        <w:t>to the sustainable use of fuel and energy resources.</w:t>
      </w:r>
    </w:p>
    <w:sectPr w:rsidR="00197260" w:rsidRPr="00991BAD" w:rsidSect="00A25D7C">
      <w:footnotePr>
        <w:numFmt w:val="upperRoman"/>
        <w:numRestart w:val="eachPage"/>
      </w:footnotePr>
      <w:pgSz w:w="11909" w:h="16834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5FF" w:rsidRDefault="005345FF">
      <w:r>
        <w:separator/>
      </w:r>
    </w:p>
  </w:endnote>
  <w:endnote w:type="continuationSeparator" w:id="0">
    <w:p w:rsidR="005345FF" w:rsidRDefault="0053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5FF" w:rsidRDefault="005345FF">
      <w:r>
        <w:separator/>
      </w:r>
    </w:p>
  </w:footnote>
  <w:footnote w:type="continuationSeparator" w:id="0">
    <w:p w:rsidR="005345FF" w:rsidRDefault="005345FF">
      <w:r>
        <w:continuationSeparator/>
      </w:r>
    </w:p>
  </w:footnote>
  <w:footnote w:id="1">
    <w:p w:rsidR="00BA7EE4" w:rsidRPr="00991BAD" w:rsidRDefault="00BA7EE4" w:rsidP="00BA7EE4">
      <w:pPr>
        <w:pStyle w:val="a4"/>
        <w:shd w:val="clear" w:color="auto" w:fill="auto"/>
        <w:rPr>
          <w:lang w:val="en-US"/>
        </w:rPr>
      </w:pPr>
      <w:r>
        <w:rPr>
          <w:vertAlign w:val="superscript"/>
          <w:lang w:val="en-US"/>
        </w:rPr>
        <w:footnoteRef/>
      </w:r>
      <w:r>
        <w:rPr>
          <w:lang w:val="en-US"/>
        </w:rPr>
        <w:t xml:space="preserve"> For more detailed information on the strategic priorities, goals and performance indicators of the ALROSA Group relating to sustainable development see </w:t>
      </w:r>
      <w:hyperlink r:id="rId1" w:history="1">
        <w:r>
          <w:rPr>
            <w:rStyle w:val="a6"/>
            <w:lang w:val="en-US"/>
          </w:rPr>
          <w:t>the Sustainable Development Program of the ALROSA Group for 2021–2025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C39EF"/>
    <w:multiLevelType w:val="multilevel"/>
    <w:tmpl w:val="AC281452"/>
    <w:lvl w:ilvl="0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60"/>
    <w:rsid w:val="00197260"/>
    <w:rsid w:val="001D7312"/>
    <w:rsid w:val="002D5504"/>
    <w:rsid w:val="005024A8"/>
    <w:rsid w:val="005345FF"/>
    <w:rsid w:val="00665502"/>
    <w:rsid w:val="00711221"/>
    <w:rsid w:val="00821F12"/>
    <w:rsid w:val="00910E78"/>
    <w:rsid w:val="0092475E"/>
    <w:rsid w:val="00991BAD"/>
    <w:rsid w:val="009D5AAD"/>
    <w:rsid w:val="00A25D7C"/>
    <w:rsid w:val="00A55C04"/>
    <w:rsid w:val="00BA7EE4"/>
    <w:rsid w:val="00E2137F"/>
    <w:rsid w:val="00F4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EC494A"/>
  <w15:docId w15:val="{96B04E9C-716B-4B79-AAAD-55A5DDC3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Сноска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563C2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pt">
    <w:name w:val="Сноска + 8 pt;Малые прописные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563C2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740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b/>
      <w:bCs/>
    </w:rPr>
  </w:style>
  <w:style w:type="character" w:styleId="a6">
    <w:name w:val="Hyperlink"/>
    <w:basedOn w:val="a0"/>
    <w:uiPriority w:val="99"/>
    <w:unhideWhenUsed/>
    <w:rsid w:val="002D550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25D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5D7C"/>
    <w:rPr>
      <w:color w:val="000000"/>
    </w:rPr>
  </w:style>
  <w:style w:type="paragraph" w:styleId="a9">
    <w:name w:val="footer"/>
    <w:basedOn w:val="a"/>
    <w:link w:val="aa"/>
    <w:uiPriority w:val="99"/>
    <w:unhideWhenUsed/>
    <w:rsid w:val="00A25D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5D7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lrosa.ru/upload/medialibrary/005/2021_AR_Sustainability_Programme_ru_v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Mikailova, Marina (Janus Worldwide)</dc:creator>
  <cp:lastModifiedBy>Носко Полина Анатольевна</cp:lastModifiedBy>
  <cp:revision>9</cp:revision>
  <dcterms:created xsi:type="dcterms:W3CDTF">2023-05-24T09:58:00Z</dcterms:created>
  <dcterms:modified xsi:type="dcterms:W3CDTF">2023-05-29T15:01:00Z</dcterms:modified>
</cp:coreProperties>
</file>